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933" w:rsidRDefault="008B1933" w:rsidP="008B1933">
      <w:pPr>
        <w:autoSpaceDE/>
        <w:autoSpaceDN/>
        <w:spacing w:before="100" w:after="100" w:line="220" w:lineRule="exact"/>
        <w:jc w:val="both"/>
        <w:rPr>
          <w:rFonts w:ascii="Arial" w:hAnsi="Arial" w:cs="Arial"/>
          <w:b/>
        </w:rPr>
      </w:pPr>
      <w:r w:rsidRPr="006262FE">
        <w:rPr>
          <w:rFonts w:ascii="Arial" w:hAnsi="Arial" w:cs="Arial"/>
          <w:b/>
        </w:rPr>
        <w:t>TJ Valašské Meziříčí – Osvětlení atletického stadionu – Žerotínova 736</w:t>
      </w:r>
    </w:p>
    <w:p w:rsidR="008B1933" w:rsidRDefault="008B1933" w:rsidP="008B1933">
      <w:pPr>
        <w:autoSpaceDE/>
        <w:autoSpaceDN/>
        <w:spacing w:before="100" w:after="100" w:line="220" w:lineRule="exact"/>
        <w:jc w:val="both"/>
        <w:rPr>
          <w:rFonts w:ascii="Arial" w:hAnsi="Arial" w:cs="Arial"/>
          <w:b/>
        </w:rPr>
      </w:pPr>
    </w:p>
    <w:p w:rsidR="008B1933" w:rsidRDefault="008B1933" w:rsidP="008B1933">
      <w:pPr>
        <w:autoSpaceDE/>
        <w:autoSpaceDN/>
        <w:spacing w:before="100" w:after="100" w:line="220" w:lineRule="exact"/>
        <w:jc w:val="both"/>
        <w:rPr>
          <w:rFonts w:ascii="Arial" w:hAnsi="Arial" w:cs="Arial"/>
          <w:b/>
        </w:rPr>
      </w:pPr>
      <w:r>
        <w:rPr>
          <w:rFonts w:ascii="Arial" w:hAnsi="Arial" w:cs="Arial"/>
          <w:b/>
        </w:rPr>
        <w:t>DODATEK TECHNICKÉ ZPRÁVY</w:t>
      </w:r>
    </w:p>
    <w:p w:rsidR="008B1933" w:rsidRDefault="008B1933" w:rsidP="008B1933">
      <w:pPr>
        <w:autoSpaceDE/>
        <w:autoSpaceDN/>
        <w:spacing w:before="100" w:after="100" w:line="220" w:lineRule="exact"/>
        <w:jc w:val="both"/>
        <w:rPr>
          <w:rFonts w:ascii="Arial" w:hAnsi="Arial" w:cs="Arial"/>
          <w:b/>
        </w:rPr>
      </w:pPr>
    </w:p>
    <w:p w:rsidR="00AE6408" w:rsidRDefault="00AE6408" w:rsidP="00AE6408">
      <w:pPr>
        <w:pStyle w:val="Odstavecseseznamem"/>
        <w:numPr>
          <w:ilvl w:val="0"/>
          <w:numId w:val="1"/>
        </w:numPr>
        <w:autoSpaceDE/>
        <w:autoSpaceDN/>
        <w:spacing w:before="100" w:after="100" w:line="220" w:lineRule="exact"/>
        <w:jc w:val="both"/>
        <w:rPr>
          <w:rFonts w:ascii="Arial" w:hAnsi="Arial" w:cs="Arial"/>
        </w:rPr>
      </w:pPr>
      <w:r>
        <w:rPr>
          <w:rFonts w:ascii="Arial" w:hAnsi="Arial" w:cs="Arial"/>
        </w:rPr>
        <w:t xml:space="preserve">V technické zprávě bod 3a) je </w:t>
      </w:r>
      <w:r w:rsidR="00176F8F">
        <w:rPr>
          <w:rFonts w:ascii="Arial" w:hAnsi="Arial" w:cs="Arial"/>
        </w:rPr>
        <w:t xml:space="preserve">mylně </w:t>
      </w:r>
      <w:r>
        <w:rPr>
          <w:rFonts w:ascii="Arial" w:hAnsi="Arial" w:cs="Arial"/>
        </w:rPr>
        <w:t xml:space="preserve">uvedeno, že osvětlenost pro atletickou dráhu a půlkruhové sektory má být vyšší než </w:t>
      </w:r>
      <w:proofErr w:type="spellStart"/>
      <w:r>
        <w:rPr>
          <w:rFonts w:ascii="Arial" w:hAnsi="Arial" w:cs="Arial"/>
        </w:rPr>
        <w:t>Epk</w:t>
      </w:r>
      <w:proofErr w:type="spellEnd"/>
      <w:r>
        <w:rPr>
          <w:rFonts w:ascii="Arial" w:hAnsi="Arial" w:cs="Arial"/>
        </w:rPr>
        <w:t xml:space="preserve">=100 </w:t>
      </w:r>
      <w:proofErr w:type="spellStart"/>
      <w:r>
        <w:rPr>
          <w:rFonts w:ascii="Arial" w:hAnsi="Arial" w:cs="Arial"/>
        </w:rPr>
        <w:t>lx</w:t>
      </w:r>
      <w:proofErr w:type="spellEnd"/>
      <w:r>
        <w:rPr>
          <w:rFonts w:ascii="Arial" w:hAnsi="Arial" w:cs="Arial"/>
        </w:rPr>
        <w:t xml:space="preserve">. Následně v bodu 3e) v požadavcích na </w:t>
      </w:r>
      <w:proofErr w:type="gramStart"/>
      <w:r>
        <w:rPr>
          <w:rFonts w:ascii="Arial" w:hAnsi="Arial" w:cs="Arial"/>
        </w:rPr>
        <w:t>řídící</w:t>
      </w:r>
      <w:proofErr w:type="gramEnd"/>
      <w:r>
        <w:rPr>
          <w:rFonts w:ascii="Arial" w:hAnsi="Arial" w:cs="Arial"/>
        </w:rPr>
        <w:t xml:space="preserve"> systém je požadován režim pro profesionální trénink atletické dráhy v hodnotě 200 </w:t>
      </w:r>
      <w:proofErr w:type="spellStart"/>
      <w:r>
        <w:rPr>
          <w:rFonts w:ascii="Arial" w:hAnsi="Arial" w:cs="Arial"/>
        </w:rPr>
        <w:t>lx</w:t>
      </w:r>
      <w:proofErr w:type="spellEnd"/>
      <w:r>
        <w:rPr>
          <w:rFonts w:ascii="Arial" w:hAnsi="Arial" w:cs="Arial"/>
        </w:rPr>
        <w:t xml:space="preserve">. </w:t>
      </w:r>
    </w:p>
    <w:p w:rsidR="00AE6408" w:rsidRPr="00176F8F" w:rsidRDefault="00176F8F" w:rsidP="00AE6408">
      <w:pPr>
        <w:autoSpaceDE/>
        <w:autoSpaceDN/>
        <w:spacing w:before="100" w:after="100" w:line="220" w:lineRule="exact"/>
        <w:jc w:val="both"/>
        <w:rPr>
          <w:rFonts w:ascii="Arial" w:hAnsi="Arial" w:cs="Arial"/>
          <w:b/>
          <w:u w:val="single"/>
        </w:rPr>
      </w:pPr>
      <w:r w:rsidRPr="00176F8F">
        <w:rPr>
          <w:rFonts w:ascii="Arial" w:hAnsi="Arial" w:cs="Arial"/>
          <w:b/>
          <w:u w:val="single"/>
        </w:rPr>
        <w:t>OPRAVA</w:t>
      </w:r>
      <w:r w:rsidR="00AE6408" w:rsidRPr="00176F8F">
        <w:rPr>
          <w:rFonts w:ascii="Arial" w:hAnsi="Arial" w:cs="Arial"/>
          <w:b/>
          <w:u w:val="single"/>
        </w:rPr>
        <w:t xml:space="preserve">: Pro atletickou dráhu je požadována intenzita 200 </w:t>
      </w:r>
      <w:proofErr w:type="spellStart"/>
      <w:r w:rsidR="00AE6408" w:rsidRPr="00176F8F">
        <w:rPr>
          <w:rFonts w:ascii="Arial" w:hAnsi="Arial" w:cs="Arial"/>
          <w:b/>
          <w:u w:val="single"/>
        </w:rPr>
        <w:t>lx</w:t>
      </w:r>
      <w:proofErr w:type="spellEnd"/>
      <w:r w:rsidR="00AE6408" w:rsidRPr="00176F8F">
        <w:rPr>
          <w:rFonts w:ascii="Arial" w:hAnsi="Arial" w:cs="Arial"/>
          <w:b/>
          <w:u w:val="single"/>
        </w:rPr>
        <w:t>.</w:t>
      </w:r>
    </w:p>
    <w:p w:rsidR="00AE6408" w:rsidRDefault="00AE6408" w:rsidP="008B1933">
      <w:pPr>
        <w:autoSpaceDE/>
        <w:autoSpaceDN/>
        <w:spacing w:before="100" w:after="100" w:line="220" w:lineRule="exact"/>
        <w:jc w:val="both"/>
        <w:rPr>
          <w:rFonts w:ascii="Arial" w:hAnsi="Arial" w:cs="Arial"/>
        </w:rPr>
      </w:pPr>
    </w:p>
    <w:p w:rsidR="00AE6408" w:rsidRPr="00AE6408" w:rsidRDefault="00AE6408" w:rsidP="00AE6408">
      <w:pPr>
        <w:pStyle w:val="Odstavecseseznamem"/>
        <w:numPr>
          <w:ilvl w:val="0"/>
          <w:numId w:val="1"/>
        </w:numPr>
        <w:autoSpaceDE/>
        <w:autoSpaceDN/>
        <w:spacing w:before="100" w:after="100" w:line="220" w:lineRule="exact"/>
        <w:jc w:val="both"/>
        <w:rPr>
          <w:rFonts w:ascii="Arial" w:hAnsi="Arial" w:cs="Arial"/>
        </w:rPr>
      </w:pPr>
      <w:r w:rsidRPr="00AE6408">
        <w:rPr>
          <w:rFonts w:ascii="Arial" w:hAnsi="Arial" w:cs="Arial"/>
        </w:rPr>
        <w:t xml:space="preserve">V technické zprávě  bod 3c) je </w:t>
      </w:r>
      <w:r w:rsidR="00176F8F">
        <w:rPr>
          <w:rFonts w:ascii="Arial" w:hAnsi="Arial" w:cs="Arial"/>
        </w:rPr>
        <w:t xml:space="preserve">mylně </w:t>
      </w:r>
      <w:r w:rsidRPr="00AE6408">
        <w:rPr>
          <w:rFonts w:ascii="Arial" w:hAnsi="Arial" w:cs="Arial"/>
        </w:rPr>
        <w:t>uvedeno, že rekonstrukci osvětlení hřiště je navrženo provést ze čtyř stávajících stožárů s nadzemní výškou 28 m.</w:t>
      </w:r>
    </w:p>
    <w:p w:rsidR="00AE6408" w:rsidRPr="00176F8F" w:rsidRDefault="00176F8F" w:rsidP="008B1933">
      <w:pPr>
        <w:autoSpaceDE/>
        <w:autoSpaceDN/>
        <w:spacing w:before="100" w:after="100" w:line="220" w:lineRule="exact"/>
        <w:jc w:val="both"/>
        <w:rPr>
          <w:rFonts w:ascii="Arial" w:hAnsi="Arial" w:cs="Arial"/>
          <w:b/>
          <w:u w:val="single"/>
        </w:rPr>
      </w:pPr>
      <w:r w:rsidRPr="00176F8F">
        <w:rPr>
          <w:rFonts w:ascii="Arial" w:hAnsi="Arial" w:cs="Arial"/>
          <w:b/>
          <w:u w:val="single"/>
        </w:rPr>
        <w:t xml:space="preserve">OPRAVA: Stožáry budou </w:t>
      </w:r>
      <w:r w:rsidR="001202B0">
        <w:rPr>
          <w:rFonts w:ascii="Arial" w:hAnsi="Arial" w:cs="Arial"/>
          <w:b/>
          <w:u w:val="single"/>
        </w:rPr>
        <w:t>„</w:t>
      </w:r>
      <w:r w:rsidRPr="00176F8F">
        <w:rPr>
          <w:rFonts w:ascii="Arial" w:hAnsi="Arial" w:cs="Arial"/>
          <w:b/>
          <w:u w:val="single"/>
        </w:rPr>
        <w:t>nové</w:t>
      </w:r>
      <w:r w:rsidR="001202B0">
        <w:rPr>
          <w:rFonts w:ascii="Arial" w:hAnsi="Arial" w:cs="Arial"/>
          <w:b/>
          <w:u w:val="single"/>
        </w:rPr>
        <w:t>“</w:t>
      </w:r>
      <w:r w:rsidRPr="00176F8F">
        <w:rPr>
          <w:rFonts w:ascii="Arial" w:hAnsi="Arial" w:cs="Arial"/>
          <w:b/>
          <w:u w:val="single"/>
        </w:rPr>
        <w:t xml:space="preserve"> dle položkového</w:t>
      </w:r>
      <w:r w:rsidR="00AE6408" w:rsidRPr="00176F8F">
        <w:rPr>
          <w:rFonts w:ascii="Arial" w:hAnsi="Arial" w:cs="Arial"/>
          <w:b/>
          <w:u w:val="single"/>
        </w:rPr>
        <w:t xml:space="preserve"> rozpoč</w:t>
      </w:r>
      <w:r w:rsidRPr="00176F8F">
        <w:rPr>
          <w:rFonts w:ascii="Arial" w:hAnsi="Arial" w:cs="Arial"/>
          <w:b/>
          <w:u w:val="single"/>
        </w:rPr>
        <w:t>tu.</w:t>
      </w:r>
    </w:p>
    <w:p w:rsidR="00AE6408" w:rsidRDefault="00AE6408" w:rsidP="008B1933">
      <w:pPr>
        <w:autoSpaceDE/>
        <w:autoSpaceDN/>
        <w:spacing w:before="100" w:after="100" w:line="220" w:lineRule="exact"/>
        <w:jc w:val="both"/>
        <w:rPr>
          <w:rFonts w:ascii="Arial" w:hAnsi="Arial" w:cs="Arial"/>
        </w:rPr>
      </w:pPr>
    </w:p>
    <w:p w:rsidR="00AE6408" w:rsidRDefault="00AE6408" w:rsidP="00AE6408">
      <w:pPr>
        <w:pStyle w:val="Odstavecseseznamem"/>
        <w:numPr>
          <w:ilvl w:val="0"/>
          <w:numId w:val="1"/>
        </w:numPr>
        <w:autoSpaceDE/>
        <w:autoSpaceDN/>
        <w:spacing w:before="100" w:after="100" w:line="220" w:lineRule="exact"/>
        <w:jc w:val="both"/>
        <w:rPr>
          <w:rFonts w:ascii="Arial" w:hAnsi="Arial" w:cs="Arial"/>
        </w:rPr>
      </w:pPr>
      <w:r>
        <w:rPr>
          <w:rFonts w:ascii="Arial" w:hAnsi="Arial" w:cs="Arial"/>
        </w:rPr>
        <w:t xml:space="preserve">Součástí nabídky je </w:t>
      </w:r>
      <w:r w:rsidR="00D45ECA">
        <w:rPr>
          <w:rFonts w:ascii="Arial" w:hAnsi="Arial" w:cs="Arial"/>
        </w:rPr>
        <w:t>i světelně technický výpočet včetně výpočtu rušivého světla.</w:t>
      </w:r>
      <w:r w:rsidR="00FB5EE2">
        <w:rPr>
          <w:rFonts w:ascii="Arial" w:hAnsi="Arial" w:cs="Arial"/>
        </w:rPr>
        <w:t xml:space="preserve"> Hodnoty činitele oslnění GR musí být menší než 50.</w:t>
      </w:r>
    </w:p>
    <w:p w:rsidR="00D45ECA" w:rsidRDefault="00D45ECA" w:rsidP="00D45ECA">
      <w:pPr>
        <w:pStyle w:val="Odstavecseseznamem"/>
        <w:autoSpaceDE/>
        <w:autoSpaceDN/>
        <w:spacing w:before="100" w:after="100" w:line="220" w:lineRule="exact"/>
        <w:jc w:val="both"/>
        <w:rPr>
          <w:rFonts w:ascii="Arial" w:hAnsi="Arial" w:cs="Arial"/>
        </w:rPr>
      </w:pPr>
    </w:p>
    <w:p w:rsidR="001202B0" w:rsidRDefault="00D45ECA" w:rsidP="00D45ECA">
      <w:pPr>
        <w:pStyle w:val="Odstavecseseznamem"/>
        <w:numPr>
          <w:ilvl w:val="0"/>
          <w:numId w:val="1"/>
        </w:numPr>
        <w:autoSpaceDE/>
        <w:autoSpaceDN/>
        <w:spacing w:before="100" w:after="100" w:line="220" w:lineRule="exact"/>
        <w:jc w:val="both"/>
        <w:rPr>
          <w:rFonts w:ascii="Arial" w:hAnsi="Arial" w:cs="Arial"/>
        </w:rPr>
      </w:pPr>
      <w:r w:rsidRPr="00D45ECA">
        <w:rPr>
          <w:rFonts w:ascii="Arial" w:hAnsi="Arial" w:cs="Arial"/>
        </w:rPr>
        <w:t>V</w:t>
      </w:r>
      <w:r w:rsidR="00C03EFD">
        <w:rPr>
          <w:rFonts w:ascii="Arial" w:hAnsi="Arial" w:cs="Arial"/>
        </w:rPr>
        <w:t> </w:t>
      </w:r>
      <w:r w:rsidR="008B1933" w:rsidRPr="00D45ECA">
        <w:rPr>
          <w:rFonts w:ascii="Arial" w:hAnsi="Arial" w:cs="Arial"/>
        </w:rPr>
        <w:t>dokumentaci</w:t>
      </w:r>
      <w:r w:rsidR="00C03EFD">
        <w:rPr>
          <w:rFonts w:ascii="Arial" w:hAnsi="Arial" w:cs="Arial"/>
        </w:rPr>
        <w:t xml:space="preserve"> a rozpočtu</w:t>
      </w:r>
      <w:r w:rsidR="008B1933" w:rsidRPr="00D45ECA">
        <w:rPr>
          <w:rFonts w:ascii="Arial" w:hAnsi="Arial" w:cs="Arial"/>
        </w:rPr>
        <w:t xml:space="preserve"> je přesně definován typ sklopných stožárů GL520 o výšce 28 metrů</w:t>
      </w:r>
      <w:r w:rsidR="001202B0">
        <w:rPr>
          <w:rFonts w:ascii="Arial" w:hAnsi="Arial" w:cs="Arial"/>
        </w:rPr>
        <w:t xml:space="preserve">. </w:t>
      </w:r>
    </w:p>
    <w:p w:rsidR="000574E8" w:rsidRDefault="000574E8" w:rsidP="000574E8">
      <w:pPr>
        <w:autoSpaceDE/>
        <w:autoSpaceDN/>
        <w:spacing w:before="100" w:after="100" w:line="220" w:lineRule="exact"/>
        <w:jc w:val="both"/>
        <w:rPr>
          <w:rFonts w:ascii="Arial" w:hAnsi="Arial" w:cs="Arial"/>
        </w:rPr>
      </w:pPr>
    </w:p>
    <w:p w:rsidR="00CE6822" w:rsidRPr="00D272CE" w:rsidRDefault="00D45ECA" w:rsidP="00D45ECA">
      <w:pPr>
        <w:autoSpaceDE/>
        <w:autoSpaceDN/>
        <w:spacing w:before="100" w:after="100" w:line="220" w:lineRule="exact"/>
        <w:jc w:val="both"/>
        <w:rPr>
          <w:rFonts w:ascii="Arial" w:hAnsi="Arial" w:cs="Arial"/>
          <w:b/>
        </w:rPr>
      </w:pPr>
      <w:r w:rsidRPr="00D272CE">
        <w:rPr>
          <w:rFonts w:ascii="Arial" w:hAnsi="Arial" w:cs="Arial"/>
          <w:b/>
        </w:rPr>
        <w:t xml:space="preserve">OPRAVA: </w:t>
      </w:r>
      <w:r w:rsidR="00CE6822" w:rsidRPr="00D272CE">
        <w:rPr>
          <w:rFonts w:ascii="Arial" w:hAnsi="Arial" w:cs="Arial"/>
          <w:b/>
        </w:rPr>
        <w:t xml:space="preserve">Zadavatel požaduje stožáry bez žebříků a plošin a zároveň možnost servisu ze země bez výškových plošin. Důvod použití sklopných stožárů je zejména kvůli bezpečné údržbě světlometů ze země (po sklopení) stejně tak i samotné instalace bez výškových prací a bez vysokozdvižné plošiny, pro kterou není vždy možno zajistit přístup. Tyto stožáry nemají žebřík ani stupačky, což je důležité z hlediska bezpečnosti a zajištění proti nepovolanému výstupu. Kabely se vedou vnitřkem a přes základ do kabelové rýhy. </w:t>
      </w:r>
    </w:p>
    <w:p w:rsidR="00CE6822" w:rsidRPr="00D272CE" w:rsidRDefault="00CE6822" w:rsidP="00D45ECA">
      <w:pPr>
        <w:jc w:val="both"/>
        <w:rPr>
          <w:rFonts w:ascii="Arial" w:hAnsi="Arial" w:cs="Arial"/>
          <w:b/>
        </w:rPr>
      </w:pPr>
      <w:r w:rsidRPr="00D272CE">
        <w:rPr>
          <w:rFonts w:ascii="Arial" w:hAnsi="Arial" w:cs="Arial"/>
          <w:b/>
        </w:rPr>
        <w:t>Zadavatel však netrvá na konkrétním typu sklápěcího stožáru, který je uveden ve výkazu výměr.  V souladu s odst. 8. 3 zadávací dokumentace platí, že v případě, že zadávací dokumentace a její přílohy obsahuje požadavky nebo odkazy zvýhodňující nebo znevýhodňující určité dodavatele nebo výrobky tím, že technické podmínky stanoví prostřednictvím přímého nebo nepřímého odkazu na určité dodavatele nebo výrobky nebo patenty na vynálezy, užitné vzory, průmyslové vzory, ochranné známky nebo označení původu, umožňuje zadavatel pro plnění veřejné zakázky použití i jiných kvalitativně a technicky rovnocenných řešení. Daných požadavků nebo odkazů je používáno proto, že použití technických podmínek dle § 89 odst. 1 ZZVZ by nebylo dostatečně přesné nebo srozumitelné.</w:t>
      </w:r>
    </w:p>
    <w:p w:rsidR="00D45ECA" w:rsidRPr="00D272CE" w:rsidRDefault="00D45ECA" w:rsidP="00D45ECA">
      <w:pPr>
        <w:pStyle w:val="Normlnweb"/>
        <w:spacing w:before="0" w:beforeAutospacing="0" w:after="0" w:afterAutospacing="0"/>
        <w:jc w:val="both"/>
        <w:rPr>
          <w:rFonts w:ascii="Arial" w:hAnsi="Arial" w:cs="Arial"/>
          <w:b/>
          <w:sz w:val="20"/>
          <w:szCs w:val="20"/>
        </w:rPr>
      </w:pPr>
    </w:p>
    <w:p w:rsidR="00CE6822" w:rsidRPr="00D272CE" w:rsidRDefault="00CE6822" w:rsidP="00D45ECA">
      <w:pPr>
        <w:pStyle w:val="Normlnweb"/>
        <w:spacing w:before="0" w:beforeAutospacing="0" w:after="0" w:afterAutospacing="0"/>
        <w:jc w:val="both"/>
        <w:rPr>
          <w:rFonts w:ascii="Arial" w:hAnsi="Arial" w:cs="Arial"/>
          <w:b/>
          <w:sz w:val="20"/>
          <w:szCs w:val="20"/>
        </w:rPr>
      </w:pPr>
      <w:r w:rsidRPr="00D272CE">
        <w:rPr>
          <w:rFonts w:ascii="Arial" w:hAnsi="Arial" w:cs="Arial"/>
          <w:b/>
          <w:sz w:val="20"/>
          <w:szCs w:val="20"/>
        </w:rPr>
        <w:t xml:space="preserve">Zadavatel u položky č. 3, stavební objekt 01 – Umělé osvětlení LED 500 </w:t>
      </w:r>
      <w:proofErr w:type="spellStart"/>
      <w:r w:rsidRPr="00D272CE">
        <w:rPr>
          <w:rFonts w:ascii="Arial" w:hAnsi="Arial" w:cs="Arial"/>
          <w:b/>
          <w:sz w:val="20"/>
          <w:szCs w:val="20"/>
        </w:rPr>
        <w:t>Lx</w:t>
      </w:r>
      <w:proofErr w:type="spellEnd"/>
      <w:r w:rsidRPr="00D272CE">
        <w:rPr>
          <w:rFonts w:ascii="Arial" w:hAnsi="Arial" w:cs="Arial"/>
          <w:b/>
          <w:sz w:val="20"/>
          <w:szCs w:val="20"/>
        </w:rPr>
        <w:t xml:space="preserve"> – 4 stožáry 28 m, díl 210-1 Svítidla a materiál pro osvětlení umožňuje použití i jiných, kvalitativně a technicky obdobných (nebo lepších) řešení, které však bezvýhradně a prokazatelně naplní zadavatelem zamýšlený účel realizace veřejné zakázky. Dodavatel musí doložit zadavatelem požadované vlastnosti a technické parametry těchto výrobků a služeb vhodnými doklady, ze kterých bude jednoznačně vyplývat, že se jedná o kvalitativně a technicky obdobné (nebo lepší) řešení k výrobkům a službám obsaženým v zadávací dokumentaci.</w:t>
      </w:r>
    </w:p>
    <w:p w:rsidR="00CE6822" w:rsidRPr="00D272CE" w:rsidRDefault="00CE6822" w:rsidP="00CE6822">
      <w:pPr>
        <w:ind w:left="993"/>
        <w:jc w:val="both"/>
        <w:rPr>
          <w:rFonts w:ascii="Arial" w:eastAsia="Calibri" w:hAnsi="Arial" w:cs="Arial"/>
          <w:b/>
          <w:i/>
          <w:u w:val="single"/>
          <w:lang w:eastAsia="en-US"/>
        </w:rPr>
      </w:pPr>
    </w:p>
    <w:p w:rsidR="00CE6822" w:rsidRPr="00D272CE" w:rsidRDefault="00CE6822" w:rsidP="00CE6822">
      <w:pPr>
        <w:ind w:left="993"/>
        <w:jc w:val="both"/>
        <w:rPr>
          <w:rFonts w:ascii="Arial" w:eastAsia="Calibri" w:hAnsi="Arial" w:cs="Arial"/>
          <w:b/>
          <w:i/>
          <w:u w:val="single"/>
          <w:lang w:eastAsia="en-US"/>
        </w:rPr>
      </w:pPr>
    </w:p>
    <w:p w:rsidR="00CE6822" w:rsidRPr="00D272CE" w:rsidRDefault="00CE6822" w:rsidP="00D45ECA">
      <w:pPr>
        <w:jc w:val="both"/>
        <w:rPr>
          <w:rFonts w:ascii="Arial" w:hAnsi="Arial" w:cs="Arial"/>
          <w:b/>
        </w:rPr>
      </w:pPr>
      <w:r w:rsidRPr="00D272CE">
        <w:rPr>
          <w:rFonts w:ascii="Arial" w:hAnsi="Arial" w:cs="Arial"/>
          <w:b/>
        </w:rPr>
        <w:t>Jiná výška stožárů se připouští za předpokladu, že bude zajištěno splnění požadovaných parametrů a normy ČSN EN 12193 pro osvětlení sportovišť. V případě úpravy výšky zadavatel vyžaduje doložení nového statického výpočtu ověřující řešení stožárů a základových patek, který bude zpracován autorizovaným inženýrem v příslušném oboru.</w:t>
      </w:r>
    </w:p>
    <w:p w:rsidR="00CE6822" w:rsidRPr="00D272CE" w:rsidRDefault="00CE6822" w:rsidP="00CE6822">
      <w:pPr>
        <w:spacing w:before="120" w:line="240" w:lineRule="exact"/>
        <w:ind w:left="993"/>
        <w:jc w:val="both"/>
        <w:rPr>
          <w:rFonts w:ascii="Arial" w:hAnsi="Arial" w:cs="Arial"/>
          <w:b/>
        </w:rPr>
      </w:pPr>
    </w:p>
    <w:p w:rsidR="00CE6822" w:rsidRPr="00D272CE" w:rsidRDefault="00CE6822" w:rsidP="00D45ECA">
      <w:pPr>
        <w:jc w:val="both"/>
        <w:rPr>
          <w:rFonts w:ascii="Arial" w:hAnsi="Arial" w:cs="Arial"/>
          <w:b/>
        </w:rPr>
      </w:pPr>
      <w:r w:rsidRPr="00D272CE">
        <w:rPr>
          <w:rFonts w:ascii="Arial" w:hAnsi="Arial" w:cs="Arial"/>
          <w:b/>
        </w:rPr>
        <w:t>Účastníci mohou zvolit jakýkoliv typ, počet a výkon svítidel při zachování definovaných světelně technických parametrů, splnění požadavků na rušivé světlo a nepřetížení stožárů z hlediska hmotnosti a návětrné plochy. Maximální celkový příkon soustavy hlavního osvětlení samotného hřiště nesmí překročit 62kW (100% provoz) a požadavek na jistič pro osvětlení nesmí překročit 125A/400V.</w:t>
      </w:r>
    </w:p>
    <w:p w:rsidR="00CE6822" w:rsidRPr="00D272CE" w:rsidRDefault="00CE6822" w:rsidP="00CE6822">
      <w:pPr>
        <w:rPr>
          <w:rFonts w:ascii="Arial" w:hAnsi="Arial" w:cs="Arial"/>
          <w:b/>
          <w:iCs/>
        </w:rPr>
      </w:pPr>
      <w:r w:rsidRPr="00D272CE">
        <w:rPr>
          <w:rFonts w:ascii="Arial" w:eastAsia="Calibri" w:hAnsi="Arial" w:cs="Arial"/>
          <w:b/>
          <w:lang w:eastAsia="en-US"/>
        </w:rPr>
        <w:tab/>
      </w:r>
    </w:p>
    <w:p w:rsidR="00CE6822" w:rsidRPr="00D272CE" w:rsidRDefault="00CE6822" w:rsidP="00CE6822">
      <w:pPr>
        <w:jc w:val="both"/>
        <w:rPr>
          <w:rFonts w:ascii="Arial" w:hAnsi="Arial" w:cs="Arial"/>
          <w:b/>
          <w:i/>
          <w:color w:val="2F5496" w:themeColor="accent5" w:themeShade="BF"/>
          <w:shd w:val="clear" w:color="auto" w:fill="FFFFFF"/>
        </w:rPr>
      </w:pPr>
    </w:p>
    <w:p w:rsidR="00CE6822" w:rsidRPr="00D272CE" w:rsidRDefault="00CE6822" w:rsidP="00D45ECA">
      <w:pPr>
        <w:jc w:val="both"/>
        <w:rPr>
          <w:rFonts w:ascii="Arial" w:hAnsi="Arial" w:cs="Arial"/>
          <w:b/>
        </w:rPr>
      </w:pPr>
      <w:r w:rsidRPr="00D272CE">
        <w:rPr>
          <w:rFonts w:ascii="Arial" w:hAnsi="Arial" w:cs="Arial"/>
          <w:b/>
        </w:rPr>
        <w:lastRenderedPageBreak/>
        <w:t>Typ svítidel není definován při splnění definovaných světelně technických parametrů, splnění požadavků na rušivé světlo a nepřetížení stožárů z hlediska hmotnosti a návětrné plochy. V případě navýšení hmotnosti nebo navýšení návětrné plochy doloží účastník řešení stožárů a základových patek novým statickým výpočtem ověřeným autorizovaným inženýrem v příslušném oboru.</w:t>
      </w:r>
    </w:p>
    <w:p w:rsidR="00CE6822" w:rsidRDefault="00CE6822" w:rsidP="00CE6822">
      <w:pPr>
        <w:spacing w:before="120" w:line="240" w:lineRule="exact"/>
        <w:jc w:val="both"/>
        <w:rPr>
          <w:rStyle w:val="Zdraznnintenzivn"/>
          <w:rFonts w:ascii="Arial" w:hAnsi="Arial" w:cs="Arial"/>
          <w:i w:val="0"/>
          <w:u w:val="single"/>
        </w:rPr>
      </w:pPr>
    </w:p>
    <w:p w:rsidR="00CE6822" w:rsidRPr="00D272CE" w:rsidRDefault="00CE6822" w:rsidP="00D45ECA">
      <w:pPr>
        <w:rPr>
          <w:rFonts w:ascii="Arial" w:hAnsi="Arial" w:cs="Arial"/>
          <w:b/>
        </w:rPr>
      </w:pPr>
      <w:r w:rsidRPr="00D272CE">
        <w:rPr>
          <w:rFonts w:ascii="Arial" w:hAnsi="Arial" w:cs="Arial"/>
          <w:b/>
        </w:rPr>
        <w:t>Zadavatel trvá na bezdrátovém systému podle projektové dokumentace.</w:t>
      </w:r>
    </w:p>
    <w:p w:rsidR="00CE6822" w:rsidRDefault="00CE6822" w:rsidP="00CE6822">
      <w:pPr>
        <w:spacing w:before="120" w:line="240" w:lineRule="exact"/>
        <w:jc w:val="both"/>
        <w:rPr>
          <w:rFonts w:ascii="Arial" w:hAnsi="Arial" w:cs="Arial"/>
          <w:b/>
          <w:bCs/>
          <w:iCs/>
          <w:u w:val="single"/>
        </w:rPr>
      </w:pPr>
    </w:p>
    <w:p w:rsidR="00CE6822" w:rsidRPr="00D272CE" w:rsidRDefault="00D45ECA" w:rsidP="00D272CE">
      <w:pPr>
        <w:spacing w:before="120" w:line="240" w:lineRule="exact"/>
        <w:jc w:val="both"/>
        <w:rPr>
          <w:rFonts w:ascii="Arial" w:hAnsi="Arial" w:cs="Arial"/>
          <w:b/>
        </w:rPr>
      </w:pPr>
      <w:r w:rsidRPr="00D272CE">
        <w:rPr>
          <w:rFonts w:ascii="Arial" w:hAnsi="Arial" w:cs="Arial"/>
          <w:b/>
        </w:rPr>
        <w:t xml:space="preserve">Zadavatel trvá </w:t>
      </w:r>
      <w:r w:rsidR="00CE6822" w:rsidRPr="00D272CE">
        <w:rPr>
          <w:rFonts w:ascii="Arial" w:hAnsi="Arial" w:cs="Arial"/>
          <w:b/>
        </w:rPr>
        <w:t xml:space="preserve"> na certifikaci svítidel proti nárazu míčem dle normy DIN 18032</w:t>
      </w:r>
      <w:r w:rsidR="00D272CE" w:rsidRPr="00D272CE">
        <w:rPr>
          <w:rFonts w:ascii="Arial" w:hAnsi="Arial" w:cs="Arial"/>
          <w:b/>
        </w:rPr>
        <w:t>, i s ohledem na to, že se připouští i jiná výška stožárů než je uvedeno v projektové dokumentaci.</w:t>
      </w:r>
    </w:p>
    <w:p w:rsidR="00CE6822" w:rsidRPr="00D45ECA" w:rsidRDefault="00CE6822" w:rsidP="00CE6822">
      <w:pPr>
        <w:jc w:val="both"/>
        <w:rPr>
          <w:rFonts w:ascii="Arial" w:hAnsi="Arial" w:cs="Arial"/>
        </w:rPr>
      </w:pPr>
      <w:bookmarkStart w:id="0" w:name="_GoBack"/>
      <w:bookmarkEnd w:id="0"/>
    </w:p>
    <w:sectPr w:rsidR="00CE6822" w:rsidRPr="00D45EC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B179E5"/>
    <w:multiLevelType w:val="hybridMultilevel"/>
    <w:tmpl w:val="128601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1933"/>
    <w:rsid w:val="000574E8"/>
    <w:rsid w:val="00112DB7"/>
    <w:rsid w:val="001202B0"/>
    <w:rsid w:val="001630F0"/>
    <w:rsid w:val="00176F8F"/>
    <w:rsid w:val="002C32A4"/>
    <w:rsid w:val="006A2547"/>
    <w:rsid w:val="008B1933"/>
    <w:rsid w:val="00906255"/>
    <w:rsid w:val="00974D79"/>
    <w:rsid w:val="00AB3027"/>
    <w:rsid w:val="00AE6408"/>
    <w:rsid w:val="00C03EFD"/>
    <w:rsid w:val="00CE6822"/>
    <w:rsid w:val="00D272CE"/>
    <w:rsid w:val="00D45ECA"/>
    <w:rsid w:val="00FB5E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606C9"/>
  <w15:chartTrackingRefBased/>
  <w15:docId w15:val="{FACB0A6E-1FA1-4C78-B09E-CB80E101C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02B0"/>
    <w:pPr>
      <w:autoSpaceDE w:val="0"/>
      <w:autoSpaceDN w:val="0"/>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intenzivn">
    <w:name w:val="Intense Emphasis"/>
    <w:uiPriority w:val="21"/>
    <w:qFormat/>
    <w:rsid w:val="00CE6822"/>
    <w:rPr>
      <w:b/>
      <w:bCs/>
      <w:i/>
      <w:iCs/>
      <w:color w:val="4F81BD"/>
    </w:rPr>
  </w:style>
  <w:style w:type="paragraph" w:styleId="Normlnweb">
    <w:name w:val="Normal (Web)"/>
    <w:basedOn w:val="Normln"/>
    <w:uiPriority w:val="99"/>
    <w:unhideWhenUsed/>
    <w:rsid w:val="00CE6822"/>
    <w:pPr>
      <w:autoSpaceDE/>
      <w:autoSpaceDN/>
      <w:spacing w:before="100" w:beforeAutospacing="1" w:after="100" w:afterAutospacing="1"/>
    </w:pPr>
    <w:rPr>
      <w:sz w:val="24"/>
      <w:szCs w:val="24"/>
    </w:rPr>
  </w:style>
  <w:style w:type="character" w:styleId="Siln">
    <w:name w:val="Strong"/>
    <w:basedOn w:val="Standardnpsmoodstavce"/>
    <w:uiPriority w:val="22"/>
    <w:qFormat/>
    <w:rsid w:val="00CE6822"/>
    <w:rPr>
      <w:b/>
      <w:bCs/>
    </w:rPr>
  </w:style>
  <w:style w:type="paragraph" w:styleId="Odstavecseseznamem">
    <w:name w:val="List Paragraph"/>
    <w:basedOn w:val="Normln"/>
    <w:uiPriority w:val="34"/>
    <w:qFormat/>
    <w:rsid w:val="00AE64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3485</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Jaremejková Alena, Ing.</dc:creator>
  <cp:keywords/>
  <dc:description/>
  <cp:lastModifiedBy>Černoch David, RNDr.</cp:lastModifiedBy>
  <cp:revision>2</cp:revision>
  <dcterms:created xsi:type="dcterms:W3CDTF">2025-06-30T11:53:00Z</dcterms:created>
  <dcterms:modified xsi:type="dcterms:W3CDTF">2025-06-30T11:53:00Z</dcterms:modified>
</cp:coreProperties>
</file>